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media/image1.wmf" ContentType="image/x-wmf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embeddings/oleObject1.doc" ContentType="application/msword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widowControl/>
        <w:ind w:left="4320" w:right="0" w:hanging="0"/>
        <w:jc w:val="center"/>
        <w:rPr>
          <w:sz w:val="28"/>
          <w:szCs w:val="28"/>
        </w:rPr>
      </w:pPr>
      <w:r>
        <w:rPr>
          <w:sz w:val="28"/>
          <w:szCs w:val="28"/>
        </w:rPr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-23.2pt;margin-top:-63pt;width:220.95pt;height:275.2pt;mso-wrap-distance-left:9.05pt;mso-wrap-distance-right:9.05pt;mso-position-horizontal-relative:text;mso-position-vertical-relative:text" filled="f" o:ole="">
            <v:imagedata r:id="rId3" o:title=""/>
            <w10:wrap type="square"/>
          </v:shape>
          <o:OLEObject Type="Embed" ProgID="Word.Document.8" ShapeID="ole_rId2" DrawAspect="Content" ObjectID="_1977680582" r:id="rId2"/>
        </w:object>
      </w:r>
    </w:p>
    <w:p>
      <w:pPr>
        <w:pStyle w:val="Normal"/>
        <w:widowControl/>
        <w:tabs>
          <w:tab w:val="clear" w:pos="708"/>
          <w:tab w:val="left" w:pos="3941" w:leader="none"/>
        </w:tabs>
        <w:ind w:left="4535" w:right="-113" w:hanging="0"/>
        <w:jc w:val="center"/>
        <w:rPr>
          <w:rFonts w:ascii="PT Astra Serif;Times New Roman" w:hAnsi="PT Astra Serif;Times New Roman" w:cs="PT Astra Serif;Times New Roman"/>
          <w:sz w:val="28"/>
          <w:szCs w:val="28"/>
        </w:rPr>
      </w:pPr>
      <w:r>
        <w:rPr>
          <w:rFonts w:cs="PT Astra Serif;Times New Roman" w:ascii="PT Astra Serif;Times New Roman" w:hAnsi="PT Astra Serif;Times New Roman"/>
          <w:sz w:val="28"/>
          <w:szCs w:val="28"/>
        </w:rPr>
        <w:t>В саморегулируемые организации</w:t>
      </w:r>
    </w:p>
    <w:p>
      <w:pPr>
        <w:pStyle w:val="Normal"/>
        <w:widowControl/>
        <w:tabs>
          <w:tab w:val="clear" w:pos="708"/>
          <w:tab w:val="left" w:pos="3941" w:leader="none"/>
        </w:tabs>
        <w:ind w:left="4535" w:right="-113" w:hanging="0"/>
        <w:jc w:val="center"/>
        <w:rPr>
          <w:rFonts w:ascii="PT Astra Serif;Times New Roman" w:hAnsi="PT Astra Serif;Times New Roman" w:cs="PT Astra Serif;Times New Roman"/>
          <w:sz w:val="28"/>
          <w:szCs w:val="28"/>
        </w:rPr>
      </w:pPr>
      <w:r>
        <w:rPr>
          <w:rFonts w:cs="PT Astra Serif;Times New Roman" w:ascii="PT Astra Serif;Times New Roman" w:hAnsi="PT Astra Serif;Times New Roman"/>
          <w:sz w:val="28"/>
          <w:szCs w:val="28"/>
        </w:rPr>
        <w:t>кадастровых инженеров,</w:t>
      </w:r>
    </w:p>
    <w:p>
      <w:pPr>
        <w:pStyle w:val="Normal"/>
        <w:widowControl/>
        <w:tabs>
          <w:tab w:val="clear" w:pos="708"/>
          <w:tab w:val="left" w:pos="3941" w:leader="none"/>
        </w:tabs>
        <w:ind w:left="4535" w:right="-113" w:hanging="0"/>
        <w:jc w:val="center"/>
        <w:rPr>
          <w:rFonts w:ascii="PT Astra Serif;Times New Roman" w:hAnsi="PT Astra Serif;Times New Roman" w:cs="PT Astra Serif;Times New Roman"/>
          <w:sz w:val="28"/>
          <w:szCs w:val="28"/>
        </w:rPr>
      </w:pPr>
      <w:r>
        <w:rPr>
          <w:rFonts w:cs="PT Astra Serif;Times New Roman" w:ascii="PT Astra Serif;Times New Roman" w:hAnsi="PT Astra Serif;Times New Roman"/>
          <w:sz w:val="28"/>
          <w:szCs w:val="28"/>
        </w:rPr>
        <w:t>представителям саморегулируемых</w:t>
      </w:r>
    </w:p>
    <w:p>
      <w:pPr>
        <w:pStyle w:val="Normal"/>
        <w:widowControl/>
        <w:tabs>
          <w:tab w:val="clear" w:pos="708"/>
          <w:tab w:val="left" w:pos="3941" w:leader="none"/>
        </w:tabs>
        <w:ind w:left="4535" w:right="-113" w:hanging="0"/>
        <w:jc w:val="center"/>
        <w:rPr>
          <w:rFonts w:ascii="PT Astra Serif;Times New Roman" w:hAnsi="PT Astra Serif;Times New Roman" w:cs="PT Astra Serif;Times New Roman"/>
          <w:sz w:val="28"/>
          <w:szCs w:val="28"/>
        </w:rPr>
      </w:pPr>
      <w:r>
        <w:rPr>
          <w:rFonts w:cs="PT Astra Serif;Times New Roman" w:ascii="PT Astra Serif;Times New Roman" w:hAnsi="PT Astra Serif;Times New Roman"/>
          <w:sz w:val="28"/>
          <w:szCs w:val="28"/>
        </w:rPr>
        <w:t>организаций кадастровых инженеров</w:t>
      </w:r>
    </w:p>
    <w:p>
      <w:pPr>
        <w:pStyle w:val="Normal"/>
        <w:widowControl/>
        <w:tabs>
          <w:tab w:val="clear" w:pos="708"/>
          <w:tab w:val="left" w:pos="3941" w:leader="none"/>
        </w:tabs>
        <w:ind w:left="4535" w:right="-113" w:hanging="0"/>
        <w:jc w:val="center"/>
        <w:rPr>
          <w:rFonts w:ascii="PT Astra Serif;Times New Roman" w:hAnsi="PT Astra Serif;Times New Roman" w:cs="PT Astra Serif;Times New Roman"/>
          <w:sz w:val="28"/>
          <w:szCs w:val="28"/>
        </w:rPr>
      </w:pPr>
      <w:r>
        <w:rPr>
          <w:rFonts w:cs="PT Astra Serif;Times New Roman" w:ascii="PT Astra Serif;Times New Roman" w:hAnsi="PT Astra Serif;Times New Roman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3941" w:leader="none"/>
        </w:tabs>
        <w:ind w:left="4535" w:right="-113" w:hanging="0"/>
        <w:jc w:val="center"/>
        <w:rPr>
          <w:rFonts w:ascii="PT Astra Serif;Times New Roman" w:hAnsi="PT Astra Serif;Times New Roman" w:cs="PT Astra Serif;Times New Roman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  <w:t>(по списку)</w:t>
      </w:r>
    </w:p>
    <w:p>
      <w:pPr>
        <w:pStyle w:val="Normal"/>
        <w:widowControl/>
        <w:tabs>
          <w:tab w:val="clear" w:pos="708"/>
          <w:tab w:val="left" w:pos="3941" w:leader="none"/>
        </w:tabs>
        <w:suppressAutoHyphens w:val="true"/>
        <w:bidi w:val="0"/>
        <w:spacing w:before="0" w:after="0"/>
        <w:ind w:left="4535" w:right="-113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3941" w:leader="none"/>
        </w:tabs>
        <w:suppressAutoHyphens w:val="true"/>
        <w:bidi w:val="0"/>
        <w:spacing w:before="0" w:after="0"/>
        <w:ind w:left="4535" w:right="-113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3941" w:leader="none"/>
        </w:tabs>
        <w:suppressAutoHyphens w:val="true"/>
        <w:bidi w:val="0"/>
        <w:spacing w:before="0" w:after="0"/>
        <w:ind w:left="4535" w:right="-113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3941" w:leader="none"/>
        </w:tabs>
        <w:suppressAutoHyphens w:val="true"/>
        <w:bidi w:val="0"/>
        <w:spacing w:before="0" w:after="0"/>
        <w:ind w:left="4535" w:right="-11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3941" w:leader="none"/>
        </w:tabs>
        <w:suppressAutoHyphens w:val="true"/>
        <w:bidi w:val="0"/>
        <w:spacing w:before="0" w:after="0"/>
        <w:ind w:left="4535" w:right="-11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3941" w:leader="none"/>
        </w:tabs>
        <w:suppressAutoHyphens w:val="true"/>
        <w:bidi w:val="0"/>
        <w:spacing w:before="0" w:after="0"/>
        <w:ind w:left="4535" w:right="-11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3941" w:leader="none"/>
        </w:tabs>
        <w:suppressAutoHyphens w:val="true"/>
        <w:bidi w:val="0"/>
        <w:spacing w:before="0" w:after="0"/>
        <w:ind w:left="4535" w:right="-11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3941" w:leader="none"/>
        </w:tabs>
        <w:suppressAutoHyphens w:val="true"/>
        <w:bidi w:val="0"/>
        <w:spacing w:before="0" w:after="0"/>
        <w:ind w:left="4535" w:right="-11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3941" w:leader="none"/>
        </w:tabs>
        <w:suppressAutoHyphens w:val="true"/>
        <w:bidi w:val="0"/>
        <w:spacing w:before="0" w:after="0"/>
        <w:ind w:left="4535" w:right="-113" w:hanging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</w:rPr>
      </w:r>
    </w:p>
    <w:p>
      <w:pPr>
        <w:pStyle w:val="Normal"/>
        <w:spacing w:lineRule="auto" w:line="240"/>
        <w:ind w:firstLine="708"/>
        <w:jc w:val="both"/>
        <w:rPr/>
      </w:pPr>
      <w:r>
        <w:rPr>
          <w:rFonts w:cs="PT Astra Serif" w:ascii="PT Astra Serif" w:hAnsi="PT Astra Serif"/>
          <w:color w:val="000000"/>
          <w:sz w:val="28"/>
          <w:szCs w:val="28"/>
        </w:rPr>
        <w:t>В</w:t>
      </w:r>
      <w:r>
        <w:rPr>
          <w:rFonts w:cs="PT Astra Serif" w:ascii="PT Astra Serif" w:hAnsi="PT Astra Serif"/>
          <w:sz w:val="28"/>
          <w:szCs w:val="28"/>
        </w:rPr>
        <w:t>о исполнение пункта 2.4 вопроса 1 протокола совещания Федеральной службы государственной регистрации, кадастра и картографии по методическим вопросам при осуществлении учетно-регистрационных действий, состоявшегося 27.02.2025, (протокол № ЛЛ/0015-ПР/26 от 12.03.2026) Управление Федеральной службы государственной регистрации, кадастра и картографии по Волгоградской области доводит до Вашего сведения следующую информацию о внесении в технический план сведений о годе завершения строительства объектов недвижимости, а также об указании в межевом или техническом плане, карта-плане территории информации об адресе объекта в виде его уникального идентификатора.</w:t>
      </w:r>
    </w:p>
    <w:p>
      <w:pPr>
        <w:pStyle w:val="Normal"/>
        <w:spacing w:lineRule="auto" w:line="240"/>
        <w:ind w:left="0" w:righ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  <w:t xml:space="preserve">С 01.03.2025 статья 52 Градостроительного кодекса Российской Федерации (далее - ГрК РФ) дополнена в том числе частью 13, согласно которой в случае, если в соответствии с частью 17 статьи 51 ГрК РФ для строительства или реконструкции здания или сооружения не требуются получение разрешения на строительство и (или) подготовка проектной документации, строительство или реконструкция здания или сооружения (помещений или машино-мест в таких здании или сооружении) считаются завершенными со дня осуществления их государственного кадастрового учета. </w:t>
      </w:r>
    </w:p>
    <w:p>
      <w:pPr>
        <w:pStyle w:val="Normal"/>
        <w:spacing w:lineRule="auto" w:line="240"/>
        <w:ind w:left="0" w:righ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  <w:t xml:space="preserve">Таким образом, год завершения строительства объекта недвижимости, для которого в соответствии с частью 17 статьи 51 ГрК РФ не требуется получение разрешительных документов, должен соответствовать году осуществления государственного кадастрового учета. </w:t>
      </w:r>
    </w:p>
    <w:p>
      <w:pPr>
        <w:pStyle w:val="Normal"/>
        <w:spacing w:lineRule="auto" w:line="240"/>
        <w:ind w:left="0" w:righ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  <w:t>Если заявление об осуществлении учетно-регистрационных действий в отношении объектов недвижимости, указанных в части 13 статьи 52 ГрК, в том числе в случаях, если соответствующие заявление и технический план, подготовленный в 2025 году, представлен в орган регистрации прав в 2025 году, но по различным причинам (например, заявление подано в последних числах декабря 2025 года либо в 2025 году учетно-регистрационные действия приостановлены и срок истекает уже в 2026 году) решение о государственном кадастровом учете принято уже в 2026 году, то в таком случае в ЕГРН вносится год завершения строительства – 2026 г. В данном случае указание в техническом плане года завершения строительства – 2025 не будет являться основанием для приостановления государственного кадастрового учета и (или) государственной регистрации прав.</w:t>
      </w:r>
    </w:p>
    <w:p>
      <w:pPr>
        <w:pStyle w:val="Normal"/>
        <w:spacing w:lineRule="auto" w:line="240"/>
        <w:ind w:left="0" w:righ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  <w:t>При этом год завершения строительства объекта недвижимости, указанный в техническом плане и декларации об объекте недвижимости, должен соответствовать году подготовки технического плана, за исключением случаев, когда технический план подготовлен с использованием документов, подтверждающих иной год завершения строительства (например, технический паспорт, составленный до 01.01.2013).</w:t>
      </w:r>
    </w:p>
    <w:p>
      <w:pPr>
        <w:pStyle w:val="Normal"/>
        <w:spacing w:lineRule="auto" w:line="240"/>
        <w:ind w:left="0" w:righ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  <w:t>В отсутствие подтверждающих год завершения строительства объекта недвижимости документов нельзя внести в технический план иной год завершения строительства отличный от года подготовки технического плана, указанное обстоятельство будет являться основанием для приостановления государственного кадастрового учета и (или) государственной регистрации прав.</w:t>
      </w:r>
    </w:p>
    <w:p>
      <w:pPr>
        <w:pStyle w:val="Normal"/>
        <w:spacing w:lineRule="auto" w:line="240"/>
        <w:ind w:left="0" w:righ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  <w:t>Кроме того, с 01.02.2026 вступил в силу приказ Росреестра от 23.10.2024 № П/0328/24, согласно которому в документах на осуществление кадастрового учета (межевой или технический план, карта-план территории) должна быть указана информация об адресе объекта в виде его уникального идентификатора.</w:t>
      </w:r>
    </w:p>
    <w:p>
      <w:pPr>
        <w:pStyle w:val="Normal"/>
        <w:spacing w:lineRule="auto" w:line="240"/>
        <w:ind w:left="0" w:righ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  <w:t>Ранее кадастровые инженеры должны были указывать в документах полный адрес объекта. Теперь вместо длинного текстового адреса в документах будет указываться его цифровой код - уникальный идентификатор адреса, который присваивается каждому дому, участку в Государственном адресном реестре (ГАР).</w:t>
      </w:r>
    </w:p>
    <w:p>
      <w:pPr>
        <w:pStyle w:val="Normal"/>
        <w:spacing w:lineRule="auto" w:line="240"/>
        <w:ind w:left="0" w:righ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  <w:t>Если адреса у дома или участка ещё нет, то кадастровый инженер должен сам инициировать его присвоение.</w:t>
      </w:r>
    </w:p>
    <w:p>
      <w:pPr>
        <w:pStyle w:val="Normal"/>
        <w:spacing w:lineRule="auto" w:line="240"/>
        <w:ind w:left="0" w:righ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  <w:t xml:space="preserve">Отсутствие в документах адреса в виде его уникального идентификатора является основанием для приостановления учетно-регистрационных действий. </w:t>
      </w:r>
    </w:p>
    <w:p>
      <w:pPr>
        <w:pStyle w:val="Normal"/>
        <w:spacing w:lineRule="auto" w:line="240"/>
        <w:ind w:left="0" w:righ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  <w:t>Просим указанную информацию довести до сведения кадастровых инженеров, являющихся членами саморегулируемой организации, для дальнейшего учета в работе.</w:t>
      </w:r>
    </w:p>
    <w:p>
      <w:pPr>
        <w:pStyle w:val="ConsPlusTitle"/>
        <w:spacing w:lineRule="auto" w:line="276"/>
        <w:jc w:val="both"/>
        <w:rPr>
          <w:rFonts w:ascii="PT Astra Serif" w:hAnsi="PT Astra Serif"/>
          <w:b w:val="false"/>
          <w:sz w:val="28"/>
          <w:szCs w:val="28"/>
        </w:rPr>
      </w:pPr>
      <w:r>
        <w:rPr>
          <w:rFonts w:ascii="PT Astra Serif" w:hAnsi="PT Astra Serif"/>
          <w:b w:val="false"/>
          <w:sz w:val="28"/>
          <w:szCs w:val="28"/>
        </w:rPr>
      </w:r>
    </w:p>
    <w:p>
      <w:pPr>
        <w:pStyle w:val="ConsPlusTitle"/>
        <w:spacing w:lineRule="auto" w:line="276"/>
        <w:jc w:val="both"/>
        <w:rPr>
          <w:rFonts w:ascii="PT Astra Serif" w:hAnsi="PT Astra Serif"/>
          <w:b w:val="false"/>
          <w:sz w:val="28"/>
          <w:szCs w:val="28"/>
        </w:rPr>
      </w:pPr>
      <w:r>
        <w:rPr>
          <w:rFonts w:ascii="PT Astra Serif" w:hAnsi="PT Astra Serif"/>
          <w:b w:val="false"/>
          <w:sz w:val="28"/>
          <w:szCs w:val="28"/>
        </w:rPr>
      </w:r>
    </w:p>
    <w:p>
      <w:pPr>
        <w:pStyle w:val="ConsPlusTitle"/>
        <w:spacing w:lineRule="auto" w:line="276"/>
        <w:jc w:val="both"/>
        <w:rPr>
          <w:rFonts w:ascii="PT Astra Serif" w:hAnsi="PT Astra Serif"/>
          <w:b w:val="false"/>
          <w:sz w:val="28"/>
          <w:szCs w:val="28"/>
        </w:rPr>
      </w:pPr>
      <w:r>
        <w:rPr>
          <w:rFonts w:ascii="PT Astra Serif" w:hAnsi="PT Astra Serif"/>
          <w:b w:val="false"/>
          <w:sz w:val="28"/>
          <w:szCs w:val="28"/>
        </w:rPr>
      </w:r>
    </w:p>
    <w:p>
      <w:pPr>
        <w:pStyle w:val="ConsPlusTitle"/>
        <w:spacing w:lineRule="auto" w:line="27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 w:val="false"/>
          <w:sz w:val="28"/>
          <w:szCs w:val="28"/>
        </w:rPr>
        <w:t xml:space="preserve">Заместитель руководителя                                                                       Д.Е. Бабайцев </w:t>
      </w:r>
    </w:p>
    <w:p>
      <w:pPr>
        <w:pStyle w:val="ConsPlusTitle"/>
        <w:spacing w:lineRule="auto" w:line="27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 w:val="false"/>
          <w:sz w:val="28"/>
          <w:szCs w:val="28"/>
        </w:rPr>
        <w:t xml:space="preserve">         </w:t>
      </w:r>
    </w:p>
    <w:p>
      <w:pPr>
        <w:pStyle w:val="32"/>
        <w:spacing w:before="0" w:after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</w:r>
    </w:p>
    <w:p>
      <w:pPr>
        <w:pStyle w:val="32"/>
        <w:spacing w:before="0" w:after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</w:r>
    </w:p>
    <w:p>
      <w:pPr>
        <w:pStyle w:val="32"/>
        <w:spacing w:before="0" w:after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</w:r>
    </w:p>
    <w:p>
      <w:pPr>
        <w:pStyle w:val="32"/>
        <w:spacing w:before="0" w:after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</w:r>
    </w:p>
    <w:p>
      <w:pPr>
        <w:pStyle w:val="32"/>
        <w:spacing w:before="0" w:after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</w:r>
    </w:p>
    <w:p>
      <w:pPr>
        <w:pStyle w:val="32"/>
        <w:spacing w:before="0" w:after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Ишчанова Марина Владимировна</w:t>
      </w:r>
    </w:p>
    <w:p>
      <w:pPr>
        <w:pStyle w:val="32"/>
        <w:spacing w:before="0" w:after="0"/>
        <w:rPr/>
      </w:pPr>
      <w:r>
        <w:rPr>
          <w:rFonts w:cs="Times New Roman"/>
          <w:bCs/>
          <w:sz w:val="20"/>
          <w:szCs w:val="20"/>
        </w:rPr>
        <w:t xml:space="preserve">(8-8442) </w:t>
      </w:r>
      <w:r>
        <w:rPr>
          <w:rFonts w:cs="Times New Roman"/>
          <w:bCs/>
          <w:sz w:val="20"/>
          <w:szCs w:val="20"/>
          <w:lang w:val="ru-RU"/>
        </w:rPr>
        <w:t>9</w:t>
      </w:r>
      <w:r>
        <w:rPr>
          <w:rFonts w:cs="Times New Roman"/>
          <w:bCs/>
          <w:sz w:val="20"/>
          <w:szCs w:val="20"/>
        </w:rPr>
        <w:t>3-</w:t>
      </w:r>
      <w:r>
        <w:rPr>
          <w:rFonts w:cs="Times New Roman"/>
          <w:bCs/>
          <w:sz w:val="20"/>
          <w:szCs w:val="20"/>
          <w:lang w:val="ru-RU"/>
        </w:rPr>
        <w:t>20</w:t>
      </w:r>
      <w:r>
        <w:rPr>
          <w:rFonts w:cs="Times New Roman"/>
          <w:bCs/>
          <w:sz w:val="20"/>
          <w:szCs w:val="20"/>
        </w:rPr>
        <w:t>-0</w:t>
      </w:r>
      <w:r>
        <w:rPr>
          <w:rFonts w:cs="Times New Roman"/>
          <w:bCs/>
          <w:sz w:val="20"/>
          <w:szCs w:val="20"/>
          <w:lang w:val="ru-RU"/>
        </w:rPr>
        <w:t>9 (325)</w:t>
      </w:r>
    </w:p>
    <w:sectPr>
      <w:headerReference w:type="default" r:id="rId4"/>
      <w:headerReference w:type="first" r:id="rId5"/>
      <w:type w:val="nextPage"/>
      <w:pgSz w:w="11906" w:h="16838"/>
      <w:pgMar w:left="1200" w:right="851" w:gutter="0" w:header="1134" w:top="1559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tabs>
        <w:tab w:val="clear" w:pos="9355"/>
        <w:tab w:val="center" w:pos="4677" w:leader="none"/>
      </w:tabs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pStyle w:val="4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Noto Sans Devanagar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numPr>
        <w:ilvl w:val="3"/>
        <w:numId w:val="1"/>
      </w:numPr>
      <w:spacing w:before="280" w:after="280"/>
      <w:outlineLvl w:val="3"/>
    </w:pPr>
    <w:rPr>
      <w:rFonts w:eastAsia="Times New Roman"/>
      <w:b/>
      <w:bCs/>
      <w:sz w:val="24"/>
      <w:szCs w:val="24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-">
    <w:name w:val="Hyperlink"/>
    <w:uiPriority w:val="99"/>
    <w:unhideWhenUsed/>
    <w:rPr>
      <w:rFonts w:cs="Times New Roman"/>
      <w:color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Style9">
    <w:name w:val="Основной шрифт абзаца"/>
    <w:qFormat/>
    <w:rPr/>
  </w:style>
  <w:style w:type="character" w:styleId="Style10">
    <w:name w:val="Основной текст Знак"/>
    <w:qFormat/>
    <w:rPr>
      <w:rFonts w:ascii="Times New Roman" w:hAnsi="Times New Roman" w:cs="Times New Roman"/>
      <w:sz w:val="20"/>
      <w:szCs w:val="20"/>
      <w:lang w:val="en-US"/>
    </w:rPr>
  </w:style>
  <w:style w:type="character" w:styleId="Style11">
    <w:name w:val="Верхний колонтитул Знак"/>
    <w:qFormat/>
    <w:rPr>
      <w:rFonts w:ascii="Times New Roman" w:hAnsi="Times New Roman" w:cs="Times New Roman"/>
      <w:sz w:val="20"/>
      <w:szCs w:val="20"/>
      <w:lang w:val="en-US"/>
    </w:rPr>
  </w:style>
  <w:style w:type="character" w:styleId="Style12">
    <w:name w:val="Page Number"/>
    <w:rPr>
      <w:rFonts w:cs="Times New Roman"/>
    </w:rPr>
  </w:style>
  <w:style w:type="character" w:styleId="Style13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styleId="41">
    <w:name w:val="Заголовок 4 Знак"/>
    <w:basedOn w:val="Style9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jc w:val="both"/>
    </w:pPr>
    <w:rPr>
      <w:lang w:val="en-US"/>
    </w:rPr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uiPriority w:val="35"/>
    <w:semiHidden/>
    <w:unhideWhenUsed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ahoma" w:cs="Noto Sans Devanagari"/>
      <w:color w:val="auto"/>
      <w:kern w:val="0"/>
      <w:sz w:val="20"/>
      <w:szCs w:val="20"/>
      <w:lang w:val="ru-RU" w:eastAsia="zh-CN" w:bidi="hi-IN"/>
    </w:rPr>
  </w:style>
  <w:style w:type="paragraph" w:styleId="Style19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0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21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2">
    <w:name w:val="Head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>
      <w:lang w:val="en-US"/>
    </w:rPr>
  </w:style>
  <w:style w:type="paragraph" w:styleId="Style23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4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5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2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6">
    <w:name w:val="Index Heading"/>
    <w:basedOn w:val="Style14"/>
    <w:pPr/>
    <w:rPr/>
  </w:style>
  <w:style w:type="paragraph" w:styleId="Style27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Noto Sans Devanagari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0"/>
      <w:lang w:val="ru-RU" w:eastAsia="zh-CN" w:bidi="ar-SA"/>
    </w:rPr>
  </w:style>
  <w:style w:type="paragraph" w:styleId="Style28">
    <w:name w:val="Текст выноски"/>
    <w:basedOn w:val="Normal"/>
    <w:qFormat/>
    <w:pPr/>
    <w:rPr>
      <w:rFonts w:ascii="Tahoma" w:hAnsi="Tahoma" w:cs="Tahoma"/>
      <w:sz w:val="16"/>
      <w:szCs w:val="16"/>
      <w:lang w:val="en-US"/>
    </w:rPr>
  </w:style>
  <w:style w:type="paragraph" w:styleId="Style29">
    <w:name w:val="Знак"/>
    <w:basedOn w:val="Normal"/>
    <w:qFormat/>
    <w:pPr>
      <w:spacing w:before="280" w:after="280"/>
      <w:jc w:val="both"/>
    </w:pPr>
    <w:rPr>
      <w:rFonts w:ascii="Tahoma" w:hAnsi="Tahoma" w:eastAsia="Times New Roman" w:cs="Tahoma"/>
      <w:lang w:val="en-US"/>
    </w:rPr>
  </w:style>
  <w:style w:type="paragraph" w:styleId="Style30">
    <w:name w:val=" Знак"/>
    <w:basedOn w:val="Normal"/>
    <w:qFormat/>
    <w:pPr>
      <w:spacing w:lineRule="exact" w:line="240" w:before="0" w:after="160"/>
    </w:pPr>
    <w:rPr>
      <w:rFonts w:ascii="Verdana" w:hAnsi="Verdana" w:eastAsia="Times New Roman" w:cs="Verdana"/>
      <w:lang w:val="en-US"/>
    </w:rPr>
  </w:style>
  <w:style w:type="paragraph" w:styleId="12">
    <w:name w:val="1"/>
    <w:basedOn w:val="Normal"/>
    <w:qFormat/>
    <w:pPr>
      <w:spacing w:before="280" w:after="280"/>
      <w:jc w:val="both"/>
    </w:pPr>
    <w:rPr>
      <w:rFonts w:ascii="Tahoma" w:hAnsi="Tahoma" w:eastAsia="Times New Roman" w:cs="Tahoma"/>
      <w:lang w:val="en-US"/>
    </w:rPr>
  </w:style>
  <w:style w:type="paragraph" w:styleId="13">
    <w:name w:val="1 Знак"/>
    <w:basedOn w:val="Normal"/>
    <w:qFormat/>
    <w:pPr>
      <w:spacing w:lineRule="exact" w:line="240" w:before="0" w:after="160"/>
    </w:pPr>
    <w:rPr>
      <w:rFonts w:ascii="Verdana" w:hAnsi="Verdana" w:eastAsia="Times New Roman" w:cs="Verdana"/>
      <w:sz w:val="24"/>
      <w:szCs w:val="24"/>
      <w:lang w:val="en-US"/>
    </w:rPr>
  </w:style>
  <w:style w:type="paragraph" w:styleId="Style31">
    <w:name w:val="Обычный (веб)"/>
    <w:basedOn w:val="Normal"/>
    <w:qFormat/>
    <w:pPr>
      <w:spacing w:before="280" w:after="280"/>
    </w:pPr>
    <w:rPr>
      <w:rFonts w:eastAsia="Times New Roman"/>
      <w:sz w:val="24"/>
      <w:szCs w:val="24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left="0"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4"/>
      <w:szCs w:val="20"/>
      <w:lang w:val="ru-RU" w:eastAsia="zh-CN" w:bidi="ar-SA"/>
    </w:rPr>
  </w:style>
  <w:style w:type="paragraph" w:styleId="Style32">
    <w:name w:val="Содержимое врезки"/>
    <w:basedOn w:val="Normal"/>
    <w:qFormat/>
    <w:pPr/>
    <w:rPr/>
  </w:style>
  <w:style w:type="paragraph" w:styleId="32">
    <w:name w:val="Основной текст 3"/>
    <w:basedOn w:val="Normal"/>
    <w:qFormat/>
    <w:pPr>
      <w:spacing w:before="0" w:after="120"/>
    </w:pPr>
    <w:rPr>
      <w:sz w:val="16"/>
      <w:szCs w:val="16"/>
      <w:lang w:val="ru-RU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doc"/><Relationship Id="rId3" Type="http://schemas.openxmlformats.org/officeDocument/2006/relationships/image" Target="media/image1.wmf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Application>LibreOffice/7.5.6.2$Linux_X86_64 LibreOffice_project/50$Build-2</Application>
  <AppVersion>15.0000</AppVersion>
  <Pages>2</Pages>
  <Words>524</Words>
  <Characters>3707</Characters>
  <CharactersWithSpaces>4296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2023-11-02T09:21:00Z</dcterms:created>
  <dc:creator>Дьяченко Марина Владимировна</dc:creator>
  <dc:description/>
  <dc:language>ru-RU</dc:language>
  <cp:lastModifiedBy/>
  <cp:lastPrinted>2025-02-11T11:46:35Z</cp:lastPrinted>
  <dcterms:modified xsi:type="dcterms:W3CDTF">2026-03-18T12:12:49Z</dcterms:modified>
  <cp:revision>74</cp:revision>
  <dc:subject/>
  <dc:title>Пановой 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